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570B" w14:textId="77777777" w:rsidR="00A17B86" w:rsidRPr="00050D91" w:rsidRDefault="00C16B16" w:rsidP="00697E40">
      <w:pPr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050D91">
        <w:rPr>
          <w:b/>
          <w:sz w:val="27"/>
          <w:szCs w:val="27"/>
        </w:rPr>
        <w:t>И</w:t>
      </w:r>
      <w:r w:rsidRPr="00050D91">
        <w:rPr>
          <w:b/>
          <w:bCs/>
          <w:sz w:val="27"/>
          <w:szCs w:val="27"/>
        </w:rPr>
        <w:t xml:space="preserve">НФОРМАЦИОННОЕ ПИСЬМО </w:t>
      </w:r>
    </w:p>
    <w:p w14:paraId="0A5F570C" w14:textId="77777777" w:rsidR="00A17B86" w:rsidRPr="00050D91" w:rsidRDefault="00C16B16" w:rsidP="00697E40">
      <w:pPr>
        <w:pStyle w:val="af1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50D91">
        <w:rPr>
          <w:b/>
          <w:bCs/>
          <w:sz w:val="27"/>
          <w:szCs w:val="27"/>
        </w:rPr>
        <w:t xml:space="preserve">Международная конференция «Законодательное регулирование использования искусственного интеллекта и новых технологий </w:t>
      </w:r>
      <w:r w:rsidR="00697E40" w:rsidRPr="00050D91">
        <w:rPr>
          <w:b/>
          <w:bCs/>
          <w:sz w:val="27"/>
          <w:szCs w:val="27"/>
        </w:rPr>
        <w:br/>
      </w:r>
      <w:r w:rsidRPr="00050D91">
        <w:rPr>
          <w:b/>
          <w:bCs/>
          <w:sz w:val="27"/>
          <w:szCs w:val="27"/>
        </w:rPr>
        <w:t xml:space="preserve">в контртеррористических целях и профилактике радикализма </w:t>
      </w:r>
      <w:r w:rsidR="00697E40" w:rsidRPr="00050D91">
        <w:rPr>
          <w:b/>
          <w:bCs/>
          <w:sz w:val="27"/>
          <w:szCs w:val="27"/>
        </w:rPr>
        <w:br/>
      </w:r>
      <w:r w:rsidRPr="00050D91">
        <w:rPr>
          <w:b/>
          <w:bCs/>
          <w:sz w:val="27"/>
          <w:szCs w:val="27"/>
        </w:rPr>
        <w:t>и экстремизма»</w:t>
      </w:r>
    </w:p>
    <w:p w14:paraId="0A5F570D" w14:textId="77777777" w:rsidR="00A17B86" w:rsidRPr="00050D91" w:rsidRDefault="00A17B86" w:rsidP="00697E40">
      <w:pPr>
        <w:pStyle w:val="af1"/>
        <w:spacing w:before="0" w:beforeAutospacing="0" w:after="0" w:afterAutospacing="0"/>
        <w:jc w:val="center"/>
        <w:rPr>
          <w:sz w:val="27"/>
          <w:szCs w:val="27"/>
        </w:rPr>
      </w:pPr>
    </w:p>
    <w:p w14:paraId="0A5F570E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sz w:val="27"/>
          <w:szCs w:val="27"/>
        </w:rPr>
        <w:t xml:space="preserve">21 мая 2026 года в Санкт-Петербурге, в </w:t>
      </w:r>
      <w:r w:rsidRPr="00050D91">
        <w:rPr>
          <w:sz w:val="27"/>
          <w:szCs w:val="27"/>
        </w:rPr>
        <w:t>Таврическом дворце Межпарламентская Ассамблея государств ‒ участников СНГ</w:t>
      </w:r>
      <w:r w:rsidR="00050D91">
        <w:rPr>
          <w:sz w:val="27"/>
          <w:szCs w:val="27"/>
        </w:rPr>
        <w:br/>
      </w:r>
      <w:r w:rsidRPr="00050D91">
        <w:rPr>
          <w:sz w:val="27"/>
          <w:szCs w:val="27"/>
        </w:rPr>
        <w:t xml:space="preserve">и </w:t>
      </w:r>
      <w:r w:rsidRPr="00050D91">
        <w:rPr>
          <w:bCs/>
          <w:sz w:val="27"/>
          <w:szCs w:val="27"/>
        </w:rPr>
        <w:t>Контртеррористическ</w:t>
      </w:r>
      <w:r w:rsidR="00697E40" w:rsidRPr="00050D91">
        <w:rPr>
          <w:bCs/>
          <w:sz w:val="27"/>
          <w:szCs w:val="27"/>
        </w:rPr>
        <w:t>ое</w:t>
      </w:r>
      <w:r w:rsidRPr="00050D91">
        <w:rPr>
          <w:bCs/>
          <w:sz w:val="27"/>
          <w:szCs w:val="27"/>
        </w:rPr>
        <w:t xml:space="preserve"> управление Организации Объединенных Наций проводят международную конференцию «Законодательное регулирование использования искусственного интеллекта и новых те</w:t>
      </w:r>
      <w:r w:rsidRPr="00050D91">
        <w:rPr>
          <w:bCs/>
          <w:sz w:val="27"/>
          <w:szCs w:val="27"/>
        </w:rPr>
        <w:t xml:space="preserve">хнологий </w:t>
      </w:r>
      <w:r w:rsid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в контртеррористических целях и профилактике радикализма и экстремизма».</w:t>
      </w:r>
    </w:p>
    <w:p w14:paraId="0A5F570F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Цель ‒ изучить возможности применения ИИ и новых технологий </w:t>
      </w:r>
      <w:r w:rsidR="00697E40" w:rsidRP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в контртеррористических целях и профилактике радикализма и экстремизма, учитывая при этом потенциальные гуманита</w:t>
      </w:r>
      <w:r w:rsidRPr="00050D91">
        <w:rPr>
          <w:bCs/>
          <w:sz w:val="27"/>
          <w:szCs w:val="27"/>
        </w:rPr>
        <w:t>рные последствия и риски для гражданского населения.</w:t>
      </w:r>
    </w:p>
    <w:p w14:paraId="0A5F5710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Конференция призвана:</w:t>
      </w:r>
    </w:p>
    <w:p w14:paraId="0A5F5711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— выявить пробелы и лучшие практики в существующем национальном </w:t>
      </w:r>
      <w:r w:rsid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и международном законодательстве, касающемся использования ИИ и новых технологий в борьбе с терроризмом и злонамерен</w:t>
      </w:r>
      <w:r w:rsidRPr="00050D91">
        <w:rPr>
          <w:bCs/>
          <w:sz w:val="27"/>
          <w:szCs w:val="27"/>
        </w:rPr>
        <w:t xml:space="preserve">ным применением ИИ </w:t>
      </w:r>
      <w:r w:rsid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в террористических целях;</w:t>
      </w:r>
    </w:p>
    <w:p w14:paraId="0A5F5712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— содействовать диалогу между парламентариями, экспертами </w:t>
      </w:r>
      <w:r w:rsidRPr="00050D91">
        <w:rPr>
          <w:bCs/>
          <w:sz w:val="27"/>
          <w:szCs w:val="27"/>
        </w:rPr>
        <w:br/>
        <w:t>в области права, технологами, гуманитарными организациями и другими заинтересованными сторонами для понимания сложностей регулирования этих технологий;</w:t>
      </w:r>
    </w:p>
    <w:p w14:paraId="0A5F5713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— предложить ключевые принципы и элементы для модельной законодательной базы, способствующей развитию международного права, которая сможет уравновесить требования безопасности, технологические инновации и уважение прав человека;</w:t>
      </w:r>
    </w:p>
    <w:p w14:paraId="0A5F5714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Конференция должна стать с</w:t>
      </w:r>
      <w:r w:rsidRPr="00050D91">
        <w:rPr>
          <w:bCs/>
          <w:sz w:val="27"/>
          <w:szCs w:val="27"/>
        </w:rPr>
        <w:t xml:space="preserve">воевременной платформой для решения актуальной проблемы регулирования ИИ и новых технологий </w:t>
      </w:r>
      <w:r w:rsidR="00697E40" w:rsidRP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в контртеррористических целях и профилактике радикализма и экстремизма. Способствуя совместному и инклюзивному диалогу, мероприятие призвано заложить основу для эф</w:t>
      </w:r>
      <w:r w:rsidRPr="00050D91">
        <w:rPr>
          <w:bCs/>
          <w:sz w:val="27"/>
          <w:szCs w:val="27"/>
        </w:rPr>
        <w:t>фективных, ориентированных на человека, основанных на правах человека и инновационном законодательстве решений для проведения эффективной профилактики радикализма и экстремизма.</w:t>
      </w:r>
    </w:p>
    <w:p w14:paraId="0A5F5715" w14:textId="77777777" w:rsidR="00A17B86" w:rsidRPr="00050D91" w:rsidRDefault="00C16B16" w:rsidP="00697E40">
      <w:pPr>
        <w:pStyle w:val="af1"/>
        <w:spacing w:before="0" w:beforeAutospacing="0" w:after="0" w:afterAutospacing="0"/>
        <w:ind w:firstLine="708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На конференции будут рассмотрены следующие темы:</w:t>
      </w:r>
    </w:p>
    <w:p w14:paraId="0A5F5716" w14:textId="77777777" w:rsidR="00A17B86" w:rsidRPr="00050D91" w:rsidRDefault="00C16B16" w:rsidP="00697E40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Понимание ландшафта угроз:</w:t>
      </w:r>
    </w:p>
    <w:p w14:paraId="0A5F5717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— </w:t>
      </w:r>
      <w:r w:rsidRPr="00050D91">
        <w:rPr>
          <w:bCs/>
          <w:sz w:val="27"/>
          <w:szCs w:val="27"/>
        </w:rPr>
        <w:t>существующие и новые методы использования ИИ и новых технологий в контртеррористических целях;</w:t>
      </w:r>
    </w:p>
    <w:p w14:paraId="0A5F5718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— тематические исследования и реальные примеры использования ИИ </w:t>
      </w:r>
      <w:r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и новых технологий в контртеррористических целях.</w:t>
      </w:r>
    </w:p>
    <w:p w14:paraId="0A5F5719" w14:textId="77777777" w:rsidR="00A17B86" w:rsidRPr="00050D91" w:rsidRDefault="00C16B16" w:rsidP="00050D91">
      <w:pPr>
        <w:pStyle w:val="af1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Надзор и этические соображения:</w:t>
      </w:r>
    </w:p>
    <w:p w14:paraId="0A5F571A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— механизмы мо</w:t>
      </w:r>
      <w:r w:rsidRPr="00050D91">
        <w:rPr>
          <w:bCs/>
          <w:sz w:val="27"/>
          <w:szCs w:val="27"/>
        </w:rPr>
        <w:t>ниторинга и надзора за использованием ИИ и новых технологий в борьбе с терроризмом;</w:t>
      </w:r>
    </w:p>
    <w:p w14:paraId="0A5F571B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lastRenderedPageBreak/>
        <w:t>— этические соображения и соблюдение прав человека и международного гуманитарного права;</w:t>
      </w:r>
    </w:p>
    <w:p w14:paraId="0A5F571C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3. Правовые и нормативные вызовы:</w:t>
      </w:r>
    </w:p>
    <w:p w14:paraId="0A5F571D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— </w:t>
      </w:r>
      <w:r w:rsidRPr="00050D91">
        <w:rPr>
          <w:bCs/>
          <w:sz w:val="27"/>
          <w:szCs w:val="27"/>
        </w:rPr>
        <w:t>анализ существующей законодательной базы, связанной с ИИ, на национальном и международном уровнях;</w:t>
      </w:r>
    </w:p>
    <w:p w14:paraId="0A5F571E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— выявление пробелов и недостатков в действующем законодательстве, связанном с ИИ;</w:t>
      </w:r>
    </w:p>
    <w:p w14:paraId="0A5F571F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4.</w:t>
      </w:r>
      <w:r w:rsidR="00697E40" w:rsidRPr="00050D91">
        <w:rPr>
          <w:bCs/>
          <w:sz w:val="27"/>
          <w:szCs w:val="27"/>
        </w:rPr>
        <w:t xml:space="preserve"> </w:t>
      </w:r>
      <w:r w:rsidRPr="00050D91">
        <w:rPr>
          <w:bCs/>
          <w:sz w:val="27"/>
          <w:szCs w:val="27"/>
        </w:rPr>
        <w:t>Баланс между безопасностью и инновациями:</w:t>
      </w:r>
    </w:p>
    <w:p w14:paraId="0A5F5720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— стратегии, направленные на </w:t>
      </w:r>
      <w:r w:rsidRPr="00050D91">
        <w:rPr>
          <w:bCs/>
          <w:sz w:val="27"/>
          <w:szCs w:val="27"/>
        </w:rPr>
        <w:t>то, чтобы законодательство способствовало инновациям и одновременно снижало риски;</w:t>
      </w:r>
    </w:p>
    <w:p w14:paraId="0A5F5721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— преодоление политических вызовов, связанных с применением ИИ </w:t>
      </w:r>
      <w:r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и новых технологий в борьбе с терроризмом;</w:t>
      </w:r>
    </w:p>
    <w:p w14:paraId="0A5F5722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5.</w:t>
      </w:r>
      <w:r w:rsidR="00697E40" w:rsidRPr="00050D91">
        <w:rPr>
          <w:bCs/>
          <w:sz w:val="27"/>
          <w:szCs w:val="27"/>
        </w:rPr>
        <w:t xml:space="preserve"> </w:t>
      </w:r>
      <w:r w:rsidRPr="00050D91">
        <w:rPr>
          <w:bCs/>
          <w:sz w:val="27"/>
          <w:szCs w:val="27"/>
        </w:rPr>
        <w:t>Гармонизация законодательства и международное сотрудничество:</w:t>
      </w:r>
    </w:p>
    <w:p w14:paraId="0A5F5723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—</w:t>
      </w:r>
      <w:r w:rsidRPr="00050D91">
        <w:rPr>
          <w:bCs/>
          <w:sz w:val="27"/>
          <w:szCs w:val="27"/>
        </w:rPr>
        <w:t xml:space="preserve"> роль модельного законотворчества в развитии регионального </w:t>
      </w:r>
      <w:r w:rsidRPr="00050D91">
        <w:rPr>
          <w:bCs/>
          <w:sz w:val="27"/>
          <w:szCs w:val="27"/>
        </w:rPr>
        <w:br/>
        <w:t>и глобального сотрудничества;</w:t>
      </w:r>
    </w:p>
    <w:p w14:paraId="0A5F5724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>— механизмы для наращивания потенциала и обмена знаниями между государствами.</w:t>
      </w:r>
    </w:p>
    <w:p w14:paraId="0A5F5725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050D91">
        <w:rPr>
          <w:bCs/>
          <w:sz w:val="27"/>
          <w:szCs w:val="27"/>
        </w:rPr>
        <w:t xml:space="preserve">В работе конференции примут участие парламентарии государств – </w:t>
      </w:r>
      <w:r w:rsidR="00050D91" w:rsidRPr="00050D91">
        <w:rPr>
          <w:bCs/>
          <w:sz w:val="27"/>
          <w:szCs w:val="27"/>
        </w:rPr>
        <w:t>участников</w:t>
      </w:r>
      <w:r w:rsidRPr="00050D91">
        <w:rPr>
          <w:bCs/>
          <w:sz w:val="27"/>
          <w:szCs w:val="27"/>
        </w:rPr>
        <w:t xml:space="preserve"> МПА СНГ, межпа</w:t>
      </w:r>
      <w:r w:rsidRPr="00050D91">
        <w:rPr>
          <w:bCs/>
          <w:sz w:val="27"/>
          <w:szCs w:val="27"/>
        </w:rPr>
        <w:t xml:space="preserve">рламентские организации – участники Координационного механизма парламентских ассамблей по борьбе </w:t>
      </w:r>
      <w:r w:rsidR="00050D91" w:rsidRP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с терроризмом</w:t>
      </w:r>
      <w:r>
        <w:rPr>
          <w:rStyle w:val="af4"/>
          <w:bCs/>
          <w:sz w:val="27"/>
          <w:szCs w:val="27"/>
        </w:rPr>
        <w:footnoteReference w:id="1"/>
      </w:r>
      <w:r w:rsidRPr="00050D91">
        <w:rPr>
          <w:bCs/>
          <w:sz w:val="27"/>
          <w:szCs w:val="27"/>
        </w:rPr>
        <w:t xml:space="preserve">, а также представители Программного офиса КТУ ООН по межпарламентскому взаимодействию в сфере противодействия терроризму </w:t>
      </w:r>
      <w:r w:rsidR="00050D91" w:rsidRP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>и Отдела КТУ ООН по к</w:t>
      </w:r>
      <w:r w:rsidRPr="00050D91">
        <w:rPr>
          <w:bCs/>
          <w:sz w:val="27"/>
          <w:szCs w:val="27"/>
        </w:rPr>
        <w:t xml:space="preserve">ибербезопасности и новым технологиям. Мероприятие пройдет в гибридном формате на платформе Zoom, что облегчит участие экспертов по видео-конференц-связи, обеспечив их полную вовлеченность. Будет обеспечен синхронный онлайн-перевод на русский </w:t>
      </w:r>
      <w:r w:rsidR="00050D91" w:rsidRPr="00050D91">
        <w:rPr>
          <w:bCs/>
          <w:sz w:val="27"/>
          <w:szCs w:val="27"/>
        </w:rPr>
        <w:br/>
      </w:r>
      <w:r w:rsidRPr="00050D91">
        <w:rPr>
          <w:bCs/>
          <w:sz w:val="27"/>
          <w:szCs w:val="27"/>
        </w:rPr>
        <w:t xml:space="preserve">и английский </w:t>
      </w:r>
      <w:r w:rsidRPr="00050D91">
        <w:rPr>
          <w:bCs/>
          <w:sz w:val="27"/>
          <w:szCs w:val="27"/>
        </w:rPr>
        <w:t>языки.</w:t>
      </w:r>
    </w:p>
    <w:p w14:paraId="0A5F5726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0D91">
        <w:rPr>
          <w:sz w:val="27"/>
          <w:szCs w:val="27"/>
        </w:rPr>
        <w:t xml:space="preserve">Информацию об участниках (ФИО, должность, ученая степень </w:t>
      </w:r>
      <w:r w:rsidR="00050D91" w:rsidRPr="00050D91">
        <w:rPr>
          <w:sz w:val="27"/>
          <w:szCs w:val="27"/>
        </w:rPr>
        <w:br/>
      </w:r>
      <w:r w:rsidRPr="00050D91">
        <w:rPr>
          <w:sz w:val="27"/>
          <w:szCs w:val="27"/>
        </w:rPr>
        <w:t>и ученое звание, контактные данные) и темах выступлений просим представлять в рабочем порядке организаторам мероприятия (по итогам мероприятия планируется подготовить сборник материалов).</w:t>
      </w:r>
    </w:p>
    <w:p w14:paraId="0A5F5727" w14:textId="77777777" w:rsidR="00A17B86" w:rsidRPr="00050D91" w:rsidRDefault="00C16B16" w:rsidP="00697E40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0D91">
        <w:rPr>
          <w:b/>
          <w:sz w:val="27"/>
          <w:szCs w:val="27"/>
        </w:rPr>
        <w:t>Кон</w:t>
      </w:r>
      <w:r w:rsidRPr="00050D91">
        <w:rPr>
          <w:b/>
          <w:sz w:val="27"/>
          <w:szCs w:val="27"/>
        </w:rPr>
        <w:t>тактное лицо в Секретариате Совета МПА СНГ</w:t>
      </w:r>
      <w:r w:rsidRPr="00050D91">
        <w:rPr>
          <w:sz w:val="27"/>
          <w:szCs w:val="27"/>
        </w:rPr>
        <w:t xml:space="preserve">: Селютин Максимиллиан Олегович, начальник отдела внешних связей, секретарь Постоянной комиссии МПА СНГ по политическим вопросам </w:t>
      </w:r>
      <w:r w:rsidR="00050D91">
        <w:rPr>
          <w:sz w:val="27"/>
          <w:szCs w:val="27"/>
        </w:rPr>
        <w:br/>
      </w:r>
      <w:r w:rsidRPr="00050D91">
        <w:rPr>
          <w:sz w:val="27"/>
          <w:szCs w:val="27"/>
        </w:rPr>
        <w:t xml:space="preserve">и международному сотрудничеству (тел.: +7 (812) 404 5781; +7 921-895-83-39, </w:t>
      </w:r>
      <w:r w:rsidR="00050D91">
        <w:rPr>
          <w:sz w:val="27"/>
          <w:szCs w:val="27"/>
        </w:rPr>
        <w:br/>
      </w:r>
      <w:r w:rsidRPr="00050D91">
        <w:rPr>
          <w:sz w:val="27"/>
          <w:szCs w:val="27"/>
          <w:lang w:val="en-US"/>
        </w:rPr>
        <w:t>e</w:t>
      </w:r>
      <w:r w:rsidRPr="00050D91">
        <w:rPr>
          <w:sz w:val="27"/>
          <w:szCs w:val="27"/>
        </w:rPr>
        <w:t>-</w:t>
      </w:r>
      <w:r w:rsidRPr="00050D91">
        <w:rPr>
          <w:sz w:val="27"/>
          <w:szCs w:val="27"/>
          <w:lang w:val="en-US"/>
        </w:rPr>
        <w:t>mail</w:t>
      </w:r>
      <w:r w:rsidRPr="00050D91">
        <w:rPr>
          <w:sz w:val="27"/>
          <w:szCs w:val="27"/>
        </w:rPr>
        <w:t>:</w:t>
      </w:r>
      <w:r w:rsidRPr="00050D91">
        <w:rPr>
          <w:sz w:val="27"/>
          <w:szCs w:val="27"/>
        </w:rPr>
        <w:t xml:space="preserve"> </w:t>
      </w:r>
      <w:r w:rsidRPr="00050D91">
        <w:rPr>
          <w:sz w:val="27"/>
          <w:szCs w:val="27"/>
          <w:lang w:val="en-US"/>
        </w:rPr>
        <w:t>smo</w:t>
      </w:r>
      <w:r w:rsidRPr="00050D91">
        <w:rPr>
          <w:sz w:val="27"/>
          <w:szCs w:val="27"/>
        </w:rPr>
        <w:t xml:space="preserve">1@iacis.ru). </w:t>
      </w:r>
    </w:p>
    <w:p w14:paraId="0A5F5728" w14:textId="77777777" w:rsidR="007374F7" w:rsidRPr="00697E40" w:rsidRDefault="007374F7" w:rsidP="00697E40">
      <w:pPr>
        <w:rPr>
          <w:sz w:val="28"/>
          <w:szCs w:val="28"/>
        </w:rPr>
      </w:pPr>
    </w:p>
    <w:sectPr w:rsidR="007374F7" w:rsidRPr="00697E40" w:rsidSect="00182DA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F572F" w14:textId="77777777" w:rsidR="00000000" w:rsidRDefault="00C16B16">
      <w:r>
        <w:separator/>
      </w:r>
    </w:p>
  </w:endnote>
  <w:endnote w:type="continuationSeparator" w:id="0">
    <w:p w14:paraId="0A5F5731" w14:textId="77777777" w:rsidR="00000000" w:rsidRDefault="00C1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F5729" w14:textId="77777777" w:rsidR="004A6C38" w:rsidRDefault="00C16B16" w:rsidP="00A17B86">
      <w:r>
        <w:separator/>
      </w:r>
    </w:p>
  </w:footnote>
  <w:footnote w:type="continuationSeparator" w:id="0">
    <w:p w14:paraId="0A5F572A" w14:textId="77777777" w:rsidR="004A6C38" w:rsidRDefault="00C16B16" w:rsidP="00A17B86">
      <w:r>
        <w:continuationSeparator/>
      </w:r>
    </w:p>
  </w:footnote>
  <w:footnote w:id="1">
    <w:p w14:paraId="0A5F572D" w14:textId="77777777" w:rsidR="00A17B86" w:rsidRDefault="00C16B16" w:rsidP="00A17B86">
      <w:pPr>
        <w:pStyle w:val="af2"/>
      </w:pPr>
      <w:r>
        <w:rPr>
          <w:rStyle w:val="af4"/>
        </w:rPr>
        <w:footnoteRef/>
      </w:r>
      <w:r>
        <w:t xml:space="preserve"> </w:t>
      </w:r>
      <w:r w:rsidRPr="00A3410B">
        <w:t xml:space="preserve">В настоящее время участниками Координационного механизма являются: Арабский парламент; Арабский межпарламентский союз; Африканский </w:t>
      </w:r>
      <w:r w:rsidRPr="00A3410B">
        <w:t>парламентский союз; Межпарламентская ассамблея АСЕАН; Андский парламент; Азиатская парламентская ассамблея; Парламентская ассамблея франкоязычных стран; Межпарламентская ассамблея государств</w:t>
      </w:r>
      <w:r w:rsidR="00D92B98">
        <w:t xml:space="preserve"> – </w:t>
      </w:r>
      <w:r w:rsidRPr="00A3410B">
        <w:t>участников Содружества Независимых Государств; Парламент Эконом</w:t>
      </w:r>
      <w:r w:rsidRPr="00A3410B">
        <w:t>ического сообщества Западноафриканских государств; Парламентская ассамблея Организации по безопасности и сотрудничеству в Европе; Парламентская ассамблея Совета Европы; Парламентская ассамблея Черноморского экономического сотрудничества; Парламентская асса</w:t>
      </w:r>
      <w:r w:rsidRPr="00A3410B">
        <w:t>мблея Средиземноморья; Парламент стран Латинской Америки и Карибского бассейна; Парламентский союз государств</w:t>
      </w:r>
      <w:r w:rsidR="00D92B98">
        <w:t xml:space="preserve"> – </w:t>
      </w:r>
      <w:r w:rsidRPr="00A3410B">
        <w:t>членов Организации исламского сотрудничества; Парламентский форум Сообщества развития стран Юга Африки; Парламентская ассамблея тюркских государ</w:t>
      </w:r>
      <w:r w:rsidRPr="00A3410B">
        <w:t>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F572B" w14:textId="77777777" w:rsidR="00E043DA" w:rsidRDefault="00C16B1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5F572C" w14:textId="77777777" w:rsidR="00E043DA" w:rsidRDefault="00E043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548E2"/>
    <w:multiLevelType w:val="hybridMultilevel"/>
    <w:tmpl w:val="2C22A254"/>
    <w:lvl w:ilvl="0" w:tplc="51E4FB38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3E50108A" w:tentative="1">
      <w:start w:val="1"/>
      <w:numFmt w:val="lowerLetter"/>
      <w:lvlText w:val="%2."/>
      <w:lvlJc w:val="left"/>
      <w:pPr>
        <w:ind w:left="1789" w:hanging="360"/>
      </w:pPr>
    </w:lvl>
    <w:lvl w:ilvl="2" w:tplc="F614E7C0" w:tentative="1">
      <w:start w:val="1"/>
      <w:numFmt w:val="lowerRoman"/>
      <w:lvlText w:val="%3."/>
      <w:lvlJc w:val="right"/>
      <w:pPr>
        <w:ind w:left="2509" w:hanging="180"/>
      </w:pPr>
    </w:lvl>
    <w:lvl w:ilvl="3" w:tplc="3F28366A" w:tentative="1">
      <w:start w:val="1"/>
      <w:numFmt w:val="decimal"/>
      <w:lvlText w:val="%4."/>
      <w:lvlJc w:val="left"/>
      <w:pPr>
        <w:ind w:left="3229" w:hanging="360"/>
      </w:pPr>
    </w:lvl>
    <w:lvl w:ilvl="4" w:tplc="EFCE4084" w:tentative="1">
      <w:start w:val="1"/>
      <w:numFmt w:val="lowerLetter"/>
      <w:lvlText w:val="%5."/>
      <w:lvlJc w:val="left"/>
      <w:pPr>
        <w:ind w:left="3949" w:hanging="360"/>
      </w:pPr>
    </w:lvl>
    <w:lvl w:ilvl="5" w:tplc="632600F4" w:tentative="1">
      <w:start w:val="1"/>
      <w:numFmt w:val="lowerRoman"/>
      <w:lvlText w:val="%6."/>
      <w:lvlJc w:val="right"/>
      <w:pPr>
        <w:ind w:left="4669" w:hanging="180"/>
      </w:pPr>
    </w:lvl>
    <w:lvl w:ilvl="6" w:tplc="DF60FF66" w:tentative="1">
      <w:start w:val="1"/>
      <w:numFmt w:val="decimal"/>
      <w:lvlText w:val="%7."/>
      <w:lvlJc w:val="left"/>
      <w:pPr>
        <w:ind w:left="5389" w:hanging="360"/>
      </w:pPr>
    </w:lvl>
    <w:lvl w:ilvl="7" w:tplc="9A10CCC0" w:tentative="1">
      <w:start w:val="1"/>
      <w:numFmt w:val="lowerLetter"/>
      <w:lvlText w:val="%8."/>
      <w:lvlJc w:val="left"/>
      <w:pPr>
        <w:ind w:left="6109" w:hanging="360"/>
      </w:pPr>
    </w:lvl>
    <w:lvl w:ilvl="8" w:tplc="81368F6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86"/>
    <w:rsid w:val="00050D91"/>
    <w:rsid w:val="00094FDE"/>
    <w:rsid w:val="00496D2E"/>
    <w:rsid w:val="004A6C38"/>
    <w:rsid w:val="00584884"/>
    <w:rsid w:val="00697E40"/>
    <w:rsid w:val="007374F7"/>
    <w:rsid w:val="00A17B86"/>
    <w:rsid w:val="00A3410B"/>
    <w:rsid w:val="00C16B16"/>
    <w:rsid w:val="00D92B98"/>
    <w:rsid w:val="00DA2461"/>
    <w:rsid w:val="00E043DA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570B"/>
  <w15:docId w15:val="{C9D76A9A-F285-42BA-9BF0-7004C06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86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884"/>
    <w:pPr>
      <w:spacing w:after="160" w:line="360" w:lineRule="auto"/>
      <w:jc w:val="center"/>
      <w:outlineLvl w:val="0"/>
    </w:pPr>
    <w:rPr>
      <w:b/>
      <w:bCs/>
      <w:kern w:val="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FA676A"/>
    <w:pPr>
      <w:jc w:val="both"/>
    </w:pPr>
    <w:rPr>
      <w:sz w:val="28"/>
    </w:rPr>
  </w:style>
  <w:style w:type="paragraph" w:customStyle="1" w:styleId="a4">
    <w:name w:val="Знак Знак Знак Знак"/>
    <w:basedOn w:val="a"/>
    <w:qFormat/>
    <w:rsid w:val="00584884"/>
    <w:pPr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11">
    <w:name w:val="Знак Знак Знак Знак1"/>
    <w:basedOn w:val="a"/>
    <w:qFormat/>
    <w:rsid w:val="00584884"/>
    <w:pPr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a5">
    <w:name w:val="Знак Знак Знак"/>
    <w:basedOn w:val="a"/>
    <w:qFormat/>
    <w:rsid w:val="00584884"/>
    <w:pPr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12">
    <w:name w:val="Абзац списка1"/>
    <w:basedOn w:val="a"/>
    <w:qFormat/>
    <w:rsid w:val="00584884"/>
    <w:pPr>
      <w:ind w:left="720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58488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3">
    <w:name w:val="Обычный1"/>
    <w:qFormat/>
    <w:rsid w:val="00584884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584884"/>
    <w:rPr>
      <w:rFonts w:eastAsia="Calibri"/>
      <w:b/>
      <w:bCs/>
      <w:kern w:val="2"/>
      <w:sz w:val="28"/>
      <w:szCs w:val="28"/>
    </w:rPr>
  </w:style>
  <w:style w:type="paragraph" w:styleId="a6">
    <w:name w:val="header"/>
    <w:basedOn w:val="a"/>
    <w:link w:val="a7"/>
    <w:uiPriority w:val="99"/>
    <w:unhideWhenUsed/>
    <w:qFormat/>
    <w:rsid w:val="00584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584884"/>
    <w:rPr>
      <w:rFonts w:eastAsia="Times New Roman"/>
      <w:lang w:eastAsia="ru-RU"/>
    </w:rPr>
  </w:style>
  <w:style w:type="paragraph" w:styleId="a8">
    <w:name w:val="footer"/>
    <w:basedOn w:val="a"/>
    <w:link w:val="a9"/>
    <w:qFormat/>
    <w:rsid w:val="00584884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9">
    <w:name w:val="Нижний колонтитул Знак"/>
    <w:link w:val="a8"/>
    <w:qFormat/>
    <w:rsid w:val="00584884"/>
    <w:rPr>
      <w:rFonts w:eastAsia="Times New Roman"/>
      <w:lang w:eastAsia="ru-RU"/>
    </w:rPr>
  </w:style>
  <w:style w:type="character" w:styleId="aa">
    <w:name w:val="page number"/>
    <w:basedOn w:val="a0"/>
    <w:qFormat/>
    <w:rsid w:val="00584884"/>
  </w:style>
  <w:style w:type="character" w:styleId="ab">
    <w:name w:val="Emphasis"/>
    <w:uiPriority w:val="20"/>
    <w:qFormat/>
    <w:rsid w:val="00584884"/>
    <w:rPr>
      <w:i/>
      <w:iCs/>
    </w:rPr>
  </w:style>
  <w:style w:type="paragraph" w:styleId="ac">
    <w:name w:val="Plain Text"/>
    <w:basedOn w:val="a"/>
    <w:link w:val="ad"/>
    <w:qFormat/>
    <w:rsid w:val="00584884"/>
    <w:rPr>
      <w:rFonts w:ascii="Courier New" w:eastAsia="Times New Roman" w:hAnsi="Courier New"/>
    </w:rPr>
  </w:style>
  <w:style w:type="character" w:customStyle="1" w:styleId="ad">
    <w:name w:val="Текст Знак"/>
    <w:link w:val="ac"/>
    <w:qFormat/>
    <w:rsid w:val="00584884"/>
    <w:rPr>
      <w:rFonts w:ascii="Courier New" w:eastAsia="Times New Roman" w:hAnsi="Courier New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qFormat/>
    <w:rsid w:val="00584884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qFormat/>
    <w:rsid w:val="0058488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584884"/>
    <w:pPr>
      <w:ind w:left="720"/>
      <w:contextualSpacing/>
    </w:pPr>
    <w:rPr>
      <w:rFonts w:eastAsia="Times New Roman"/>
    </w:rPr>
  </w:style>
  <w:style w:type="paragraph" w:styleId="af1">
    <w:name w:val="Normal (Web)"/>
    <w:basedOn w:val="a"/>
    <w:uiPriority w:val="99"/>
    <w:unhideWhenUsed/>
    <w:rsid w:val="00A17B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A17B86"/>
  </w:style>
  <w:style w:type="character" w:customStyle="1" w:styleId="af3">
    <w:name w:val="Текст сноски Знак"/>
    <w:basedOn w:val="a0"/>
    <w:link w:val="af2"/>
    <w:uiPriority w:val="99"/>
    <w:semiHidden/>
    <w:rsid w:val="00A17B86"/>
    <w:rPr>
      <w:rFonts w:eastAsia="Calibri"/>
      <w:lang w:eastAsia="ru-RU"/>
    </w:rPr>
  </w:style>
  <w:style w:type="character" w:styleId="af4">
    <w:name w:val="footnote reference"/>
    <w:uiPriority w:val="99"/>
    <w:semiHidden/>
    <w:unhideWhenUsed/>
    <w:rsid w:val="00A17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Шигарева Яна Викторовна</dc:creator>
  <cp:lastModifiedBy>Солонкина Мария Сергеевна</cp:lastModifiedBy>
  <cp:revision>2</cp:revision>
  <dcterms:created xsi:type="dcterms:W3CDTF">2026-03-18T06:48:00Z</dcterms:created>
  <dcterms:modified xsi:type="dcterms:W3CDTF">2026-03-18T06:48:00Z</dcterms:modified>
</cp:coreProperties>
</file>