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40DA" w:rsidRDefault="007B40DA" w:rsidP="007B40DA">
      <w:pPr>
        <w:pStyle w:val="a4"/>
        <w:ind w:left="0"/>
        <w:jc w:val="center"/>
        <w:rPr>
          <w:b/>
          <w:sz w:val="24"/>
          <w:szCs w:val="24"/>
        </w:rPr>
      </w:pPr>
      <w:r w:rsidRPr="007B40DA">
        <w:rPr>
          <w:b/>
          <w:sz w:val="24"/>
          <w:szCs w:val="24"/>
        </w:rPr>
        <w:t>Особые права при приеме на обучение по программам бакалавриата и программам специалитета для победителей и призеров олимпиад</w:t>
      </w:r>
    </w:p>
    <w:p w:rsidR="007B40DA" w:rsidRPr="007B40DA" w:rsidRDefault="007B40DA" w:rsidP="007B40DA">
      <w:pPr>
        <w:pStyle w:val="a4"/>
        <w:ind w:left="0"/>
        <w:jc w:val="center"/>
        <w:rPr>
          <w:b/>
          <w:sz w:val="24"/>
          <w:szCs w:val="24"/>
        </w:rPr>
      </w:pPr>
    </w:p>
    <w:p w:rsidR="007B40DA" w:rsidRPr="001F4E9F" w:rsidRDefault="007B40DA" w:rsidP="007B40DA">
      <w:pPr>
        <w:pStyle w:val="a4"/>
        <w:numPr>
          <w:ilvl w:val="0"/>
          <w:numId w:val="1"/>
        </w:numPr>
        <w:tabs>
          <w:tab w:val="left" w:pos="1134"/>
        </w:tabs>
        <w:autoSpaceDE w:val="0"/>
        <w:autoSpaceDN w:val="0"/>
        <w:adjustRightInd w:val="0"/>
        <w:jc w:val="both"/>
        <w:rPr>
          <w:sz w:val="24"/>
          <w:szCs w:val="24"/>
        </w:rPr>
      </w:pPr>
      <w:r w:rsidRPr="001F4E9F">
        <w:rPr>
          <w:sz w:val="24"/>
          <w:szCs w:val="24"/>
        </w:rPr>
        <w:t>Право на прием без вступительных испытаний имеют:</w:t>
      </w:r>
    </w:p>
    <w:p w:rsidR="007B40DA" w:rsidRPr="001F4E9F" w:rsidRDefault="007B40DA" w:rsidP="007B40DA">
      <w:pPr>
        <w:pStyle w:val="a4"/>
        <w:numPr>
          <w:ilvl w:val="0"/>
          <w:numId w:val="3"/>
        </w:numPr>
        <w:tabs>
          <w:tab w:val="left" w:pos="1134"/>
        </w:tabs>
        <w:autoSpaceDE w:val="0"/>
        <w:autoSpaceDN w:val="0"/>
        <w:adjustRightInd w:val="0"/>
        <w:ind w:left="0" w:firstLine="709"/>
        <w:jc w:val="both"/>
        <w:rPr>
          <w:sz w:val="24"/>
          <w:szCs w:val="24"/>
        </w:rPr>
      </w:pPr>
      <w:r w:rsidRPr="001F4E9F">
        <w:rPr>
          <w:sz w:val="24"/>
          <w:szCs w:val="24"/>
        </w:rPr>
        <w:t>лица, указанные в части 4 статьи 71 Федерального закона № 273-ФЗ:</w:t>
      </w:r>
    </w:p>
    <w:p w:rsidR="007B40DA" w:rsidRPr="001F4E9F" w:rsidRDefault="007B40DA" w:rsidP="007B40DA">
      <w:pPr>
        <w:pStyle w:val="a4"/>
        <w:tabs>
          <w:tab w:val="left" w:pos="1134"/>
        </w:tabs>
        <w:autoSpaceDE w:val="0"/>
        <w:autoSpaceDN w:val="0"/>
        <w:adjustRightInd w:val="0"/>
        <w:ind w:left="0" w:firstLine="709"/>
        <w:jc w:val="both"/>
        <w:rPr>
          <w:sz w:val="24"/>
          <w:szCs w:val="24"/>
        </w:rPr>
      </w:pPr>
      <w:r w:rsidRPr="001F4E9F">
        <w:rPr>
          <w:sz w:val="24"/>
          <w:szCs w:val="24"/>
        </w:rPr>
        <w:t>— победители и призеры заключительного этапа всероссийской олимпиады школьников, члены сборных команд Российской Федерации, участвовавших в международных олимпиадах по общеобразовательным предметам и сформированных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а также члены сборных команд иностранного государства – победители и призеры международных олимпиад по общеобразовательным предметам, перечень которых утверждается Правительством Российской Федерации, являющиеся гражданами Российской Федерации или соотечественниками, не являющимися гражданами Российской Федерации, по специальностям и (или) направлениям подготовки, соответствующим профилю всероссийской олимпиады школьников или международной олимпиады, в течение четырех лет, следующих за годом проведения соответствующей олимпиады;</w:t>
      </w:r>
    </w:p>
    <w:p w:rsidR="007B40DA" w:rsidRPr="001F4E9F" w:rsidRDefault="007B40DA" w:rsidP="007B40DA">
      <w:pPr>
        <w:pStyle w:val="a4"/>
        <w:tabs>
          <w:tab w:val="left" w:pos="1134"/>
        </w:tabs>
        <w:autoSpaceDE w:val="0"/>
        <w:autoSpaceDN w:val="0"/>
        <w:adjustRightInd w:val="0"/>
        <w:ind w:left="0" w:firstLine="709"/>
        <w:jc w:val="both"/>
        <w:rPr>
          <w:sz w:val="24"/>
          <w:szCs w:val="24"/>
        </w:rPr>
      </w:pPr>
      <w:r w:rsidRPr="001F4E9F">
        <w:rPr>
          <w:sz w:val="24"/>
          <w:szCs w:val="24"/>
        </w:rPr>
        <w:t>— чемпионы и призеры Олимпийских игр, Паралимпийских игр и Сурдлимпийских игр, чемпионы мира, чемпионы Европы, лица, занявшие первое место на первенстве мира, первенстве Европы по видам спорта, включенным в программы Олимпийских игр, Паралимпийских игр и Сурдлимпийских игр, а также на иных официальных международных спортивных соревнованиях, перечень которых утверждается Правительством Российской Федерации – по направлениям подготовки в области физической культуры и спорта.</w:t>
      </w:r>
    </w:p>
    <w:p w:rsidR="007B40DA" w:rsidRPr="001F4E9F" w:rsidRDefault="007B40DA" w:rsidP="007B40DA">
      <w:pPr>
        <w:pStyle w:val="a4"/>
        <w:tabs>
          <w:tab w:val="left" w:pos="1134"/>
        </w:tabs>
        <w:autoSpaceDE w:val="0"/>
        <w:autoSpaceDN w:val="0"/>
        <w:adjustRightInd w:val="0"/>
        <w:ind w:left="0" w:firstLine="709"/>
        <w:jc w:val="both"/>
        <w:rPr>
          <w:sz w:val="24"/>
          <w:szCs w:val="24"/>
        </w:rPr>
      </w:pPr>
      <w:r w:rsidRPr="001F4E9F">
        <w:rPr>
          <w:sz w:val="24"/>
          <w:szCs w:val="24"/>
        </w:rPr>
        <w:t>2) победители и призеры олимпиад школьников, проводимых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r w:rsidRPr="001F4E9F">
        <w:rPr>
          <w:sz w:val="24"/>
          <w:szCs w:val="24"/>
          <w:shd w:val="clear" w:color="auto" w:fill="FFFFFF"/>
        </w:rPr>
        <w:t>, в течение четырех лет, следующих за годом проведения соответствующей олимпиады,</w:t>
      </w:r>
      <w:r w:rsidRPr="001F4E9F">
        <w:rPr>
          <w:sz w:val="24"/>
          <w:szCs w:val="24"/>
        </w:rPr>
        <w:t xml:space="preserve"> по специальностям и (или) направлениям подготовки, соответствующим профилю олимпиады школьников (далее – лица, указанные в части 12 статьи 71 Федерального закона № 273-ФЗ):</w:t>
      </w:r>
    </w:p>
    <w:p w:rsidR="007B40DA" w:rsidRPr="001F4E9F" w:rsidRDefault="007B40DA" w:rsidP="007B40DA">
      <w:pPr>
        <w:pStyle w:val="a4"/>
        <w:numPr>
          <w:ilvl w:val="0"/>
          <w:numId w:val="1"/>
        </w:numPr>
        <w:tabs>
          <w:tab w:val="left" w:pos="1134"/>
        </w:tabs>
        <w:autoSpaceDE w:val="0"/>
        <w:autoSpaceDN w:val="0"/>
        <w:adjustRightInd w:val="0"/>
        <w:ind w:left="0" w:firstLine="709"/>
        <w:jc w:val="both"/>
        <w:rPr>
          <w:sz w:val="24"/>
          <w:szCs w:val="24"/>
        </w:rPr>
      </w:pPr>
      <w:r w:rsidRPr="001F4E9F">
        <w:rPr>
          <w:sz w:val="24"/>
          <w:szCs w:val="24"/>
        </w:rPr>
        <w:t xml:space="preserve">Лица, указанные в части 12 статьи 71 Федерального закона № 273-ФЗ, имеют право быть приравненными к лицам, набравшим максимальное количество баллов ЕГЭ по предмету, соответствующему профилю олимпиады школьников, в течение четырех лет, следующих за годом проведения соответствующей олимпиады. При предоставлении указанного права поступающему устанавливается наивысший результат вступительного испытания (испытаний) – 100 баллов (далее – право на 100 баллов). </w:t>
      </w:r>
    </w:p>
    <w:p w:rsidR="007B40DA" w:rsidRPr="001F4E9F" w:rsidRDefault="007B40DA" w:rsidP="007B40DA">
      <w:pPr>
        <w:pStyle w:val="a4"/>
        <w:tabs>
          <w:tab w:val="left" w:pos="1134"/>
        </w:tabs>
        <w:autoSpaceDE w:val="0"/>
        <w:autoSpaceDN w:val="0"/>
        <w:adjustRightInd w:val="0"/>
        <w:ind w:left="0" w:firstLine="709"/>
        <w:jc w:val="both"/>
        <w:rPr>
          <w:sz w:val="24"/>
          <w:szCs w:val="24"/>
        </w:rPr>
      </w:pPr>
      <w:r w:rsidRPr="001F4E9F">
        <w:rPr>
          <w:sz w:val="24"/>
          <w:szCs w:val="24"/>
        </w:rPr>
        <w:t xml:space="preserve">Особые права, указанные </w:t>
      </w:r>
      <w:bookmarkStart w:id="0" w:name="_GoBack"/>
      <w:bookmarkEnd w:id="0"/>
      <w:r w:rsidRPr="007B40DA">
        <w:rPr>
          <w:sz w:val="24"/>
          <w:szCs w:val="24"/>
        </w:rPr>
        <w:t>в</w:t>
      </w:r>
      <w:r w:rsidRPr="001F4E9F">
        <w:rPr>
          <w:sz w:val="24"/>
          <w:szCs w:val="24"/>
        </w:rPr>
        <w:t xml:space="preserve"> пункте 32 и настоящем пункте, могут предоставляться одним и тем же поступающим.</w:t>
      </w:r>
    </w:p>
    <w:p w:rsidR="007B40DA" w:rsidRPr="001F4E9F" w:rsidRDefault="007B40DA" w:rsidP="007B40DA">
      <w:pPr>
        <w:pStyle w:val="a4"/>
        <w:numPr>
          <w:ilvl w:val="0"/>
          <w:numId w:val="1"/>
        </w:numPr>
        <w:ind w:left="0" w:firstLine="709"/>
        <w:jc w:val="both"/>
        <w:rPr>
          <w:sz w:val="24"/>
          <w:szCs w:val="24"/>
        </w:rPr>
      </w:pPr>
      <w:r w:rsidRPr="001F4E9F">
        <w:rPr>
          <w:sz w:val="24"/>
          <w:szCs w:val="24"/>
        </w:rPr>
        <w:t>Лицам, имеющим право на прием без вступительных испытаний в соответствии с частью 4 статьи 71 Федерального закона № 273-ФЗ, в течение четырех лет, следующих за годом проведения соответствующей олимпиады, предоставляется преимущество посредством приравнивания к лицам, имеющим 100 баллов по общеобразовательному вступительному испытанию или по дополнительному вступительному испытанию (испытаниям) (далее – особое преимущество).</w:t>
      </w:r>
    </w:p>
    <w:p w:rsidR="007B40DA" w:rsidRPr="001F4E9F" w:rsidRDefault="007B40DA" w:rsidP="007B40DA">
      <w:pPr>
        <w:pStyle w:val="a4"/>
        <w:numPr>
          <w:ilvl w:val="0"/>
          <w:numId w:val="1"/>
        </w:numPr>
        <w:ind w:left="0" w:firstLine="709"/>
        <w:jc w:val="both"/>
        <w:rPr>
          <w:sz w:val="24"/>
          <w:szCs w:val="24"/>
        </w:rPr>
      </w:pPr>
      <w:r w:rsidRPr="001F4E9F">
        <w:rPr>
          <w:sz w:val="24"/>
          <w:szCs w:val="24"/>
        </w:rPr>
        <w:t xml:space="preserve">При приеме на обучение в рамках контрольных цифр поступающий, имеющий право на прием без вступительных испытаний в соответствии с частью 4 и (или) 12 статьи 71 Федерального закона № 273-ФЗ, использует указанное право, как единое право </w:t>
      </w:r>
      <w:r w:rsidRPr="001F4E9F">
        <w:rPr>
          <w:sz w:val="24"/>
          <w:szCs w:val="24"/>
        </w:rPr>
        <w:lastRenderedPageBreak/>
        <w:t>на прием без вступительных испытаний. Указанное право используется поступающим для подачи заявления о приеме на обучение только в одну организацию только на одну образовательную программу по выбору поступающего (вне зависимости от количества оснований, дающих указанное право). В рамках одной организации и одной образовательной программы поступающий может использовать право на прием без вступительных испытаний по различным конкурсным группам.</w:t>
      </w:r>
    </w:p>
    <w:p w:rsidR="007B40DA" w:rsidRPr="001F4E9F" w:rsidRDefault="007B40DA" w:rsidP="007B40DA">
      <w:pPr>
        <w:ind w:firstLine="709"/>
        <w:rPr>
          <w:color w:val="auto"/>
          <w:sz w:val="24"/>
          <w:szCs w:val="24"/>
        </w:rPr>
      </w:pPr>
      <w:r w:rsidRPr="001F4E9F">
        <w:rPr>
          <w:color w:val="auto"/>
          <w:sz w:val="24"/>
          <w:szCs w:val="24"/>
        </w:rPr>
        <w:t xml:space="preserve">Поступающий обязан в заявлении о приеме указать образовательную программу, при приеме на обучение по которой он желает воспользоваться предоставленным ему особым правом. </w:t>
      </w:r>
    </w:p>
    <w:p w:rsidR="007B40DA" w:rsidRPr="001F4E9F" w:rsidRDefault="007B40DA" w:rsidP="007B40DA">
      <w:pPr>
        <w:pStyle w:val="a4"/>
        <w:numPr>
          <w:ilvl w:val="0"/>
          <w:numId w:val="1"/>
        </w:numPr>
        <w:ind w:left="0" w:firstLine="709"/>
        <w:jc w:val="both"/>
        <w:rPr>
          <w:sz w:val="24"/>
          <w:szCs w:val="24"/>
        </w:rPr>
      </w:pPr>
      <w:r w:rsidRPr="001F4E9F">
        <w:rPr>
          <w:sz w:val="24"/>
          <w:szCs w:val="24"/>
        </w:rPr>
        <w:t xml:space="preserve">Перечень конкурсных профилей (образовательных программ, специальностей, направлений подготовки) и их соответствие профилям заключительного этапа всероссийской олимпиады школьников, международных олимпиад, указанных в пункте 1 части 4 статьи 71 Федерального закона № 273-ФЗ (далее – международные олимпиады школьников), </w:t>
      </w:r>
      <w:r w:rsidRPr="001F4E9F">
        <w:rPr>
          <w:sz w:val="24"/>
          <w:szCs w:val="24"/>
          <w:shd w:val="clear" w:color="auto" w:fill="FFFFFF"/>
        </w:rPr>
        <w:t>спортивным достижениям, указанным в пункте 2 части 4 статьи 71 Федерального закона № 273-ФЗ (далее – спортивные достижения)</w:t>
      </w:r>
      <w:r w:rsidRPr="001F4E9F">
        <w:rPr>
          <w:sz w:val="30"/>
          <w:szCs w:val="30"/>
          <w:shd w:val="clear" w:color="auto" w:fill="FFFFFF"/>
        </w:rPr>
        <w:t xml:space="preserve"> </w:t>
      </w:r>
      <w:r w:rsidRPr="001F4E9F">
        <w:rPr>
          <w:sz w:val="24"/>
          <w:szCs w:val="24"/>
        </w:rPr>
        <w:t xml:space="preserve">для предоставления права на прием без вступительных испытаний, а также перечень общеобразовательных и дополнительных вступительных испытаний и их соответствие профилям заключительного этапа всероссийской олимпиады школьников, международных олимпиад школьников </w:t>
      </w:r>
      <w:r w:rsidRPr="001F4E9F">
        <w:rPr>
          <w:sz w:val="24"/>
          <w:szCs w:val="24"/>
        </w:rPr>
        <w:br/>
        <w:t>(по одному или нескольким профилям), спортивным достижениям для предоставления особого преимущества лицам, перечисленным в подпункте 1 пункта 32 настоящих Правил, указаны в приложении 2 к настоящим Правилам.</w:t>
      </w:r>
    </w:p>
    <w:p w:rsidR="007B40DA" w:rsidRPr="001F4E9F" w:rsidRDefault="007B40DA" w:rsidP="007B40DA">
      <w:pPr>
        <w:pStyle w:val="a4"/>
        <w:numPr>
          <w:ilvl w:val="0"/>
          <w:numId w:val="1"/>
        </w:numPr>
        <w:ind w:left="0" w:firstLine="709"/>
        <w:jc w:val="both"/>
        <w:rPr>
          <w:sz w:val="24"/>
          <w:szCs w:val="24"/>
        </w:rPr>
      </w:pPr>
      <w:r w:rsidRPr="001F4E9F">
        <w:rPr>
          <w:sz w:val="24"/>
          <w:szCs w:val="24"/>
        </w:rPr>
        <w:t xml:space="preserve">Перечень олимпиад школьников, по результатам которых предоставляются особые права лицам, указанным в подпункте 2 пункта 32 настоящих Правил, указан в приложениях 7 – 11 к настоящим Правилам. </w:t>
      </w:r>
    </w:p>
    <w:p w:rsidR="007B40DA" w:rsidRPr="001F4E9F" w:rsidRDefault="007B40DA" w:rsidP="007B40DA">
      <w:pPr>
        <w:pStyle w:val="a4"/>
        <w:ind w:left="0" w:firstLine="709"/>
        <w:jc w:val="both"/>
        <w:rPr>
          <w:sz w:val="24"/>
          <w:szCs w:val="24"/>
        </w:rPr>
      </w:pPr>
      <w:r w:rsidRPr="001F4E9F">
        <w:rPr>
          <w:sz w:val="24"/>
          <w:szCs w:val="24"/>
        </w:rPr>
        <w:t>По каждой олимпиаде, включенной в установленный Университетом перечень олимпиад школьников, приложением 3 к настоящим Правилам устанавливаются:</w:t>
      </w:r>
    </w:p>
    <w:p w:rsidR="007B40DA" w:rsidRPr="001F4E9F" w:rsidRDefault="007B40DA" w:rsidP="007B40DA">
      <w:pPr>
        <w:ind w:firstLine="709"/>
        <w:rPr>
          <w:color w:val="auto"/>
          <w:sz w:val="24"/>
          <w:szCs w:val="24"/>
        </w:rPr>
      </w:pPr>
      <w:r w:rsidRPr="001F4E9F">
        <w:rPr>
          <w:color w:val="auto"/>
          <w:sz w:val="24"/>
          <w:szCs w:val="24"/>
        </w:rPr>
        <w:t>1) соответствие конкурсных профилей (образовательных программ, специальностей, направлений подготовки) одному или нескольким профилям олимпиады для предоставления права на прием без вступительных испытаний;</w:t>
      </w:r>
    </w:p>
    <w:p w:rsidR="007B40DA" w:rsidRPr="001F4E9F" w:rsidRDefault="007B40DA" w:rsidP="007B40DA">
      <w:pPr>
        <w:ind w:firstLine="709"/>
        <w:rPr>
          <w:color w:val="auto"/>
          <w:sz w:val="24"/>
          <w:szCs w:val="24"/>
        </w:rPr>
      </w:pPr>
      <w:r w:rsidRPr="001F4E9F">
        <w:rPr>
          <w:color w:val="auto"/>
          <w:sz w:val="24"/>
          <w:szCs w:val="24"/>
        </w:rPr>
        <w:t>2) одно или несколько общеобразовательных вступительных испытаний, соответствующих профилям олимпиады для предоставления права на 100 баллов и (или) особого преимущества;</w:t>
      </w:r>
    </w:p>
    <w:p w:rsidR="007B40DA" w:rsidRPr="001F4E9F" w:rsidRDefault="007B40DA" w:rsidP="007B40DA">
      <w:pPr>
        <w:ind w:firstLine="709"/>
        <w:rPr>
          <w:color w:val="auto"/>
          <w:sz w:val="24"/>
          <w:szCs w:val="24"/>
        </w:rPr>
      </w:pPr>
      <w:r w:rsidRPr="001F4E9F">
        <w:rPr>
          <w:color w:val="auto"/>
          <w:sz w:val="24"/>
          <w:szCs w:val="24"/>
        </w:rPr>
        <w:t>3) один или несколько предметов, по которым поступающим необходимы результаты ЕГЭ или внутренних общеобразовательных вступительных испытаний, проводимых Университетом, для подтверждения особого права;</w:t>
      </w:r>
    </w:p>
    <w:p w:rsidR="007B40DA" w:rsidRPr="001F4E9F" w:rsidRDefault="007B40DA" w:rsidP="007B40DA">
      <w:pPr>
        <w:ind w:firstLine="709"/>
        <w:rPr>
          <w:color w:val="auto"/>
          <w:sz w:val="24"/>
          <w:szCs w:val="24"/>
        </w:rPr>
      </w:pPr>
      <w:r w:rsidRPr="001F4E9F">
        <w:rPr>
          <w:color w:val="auto"/>
          <w:sz w:val="24"/>
          <w:szCs w:val="24"/>
        </w:rPr>
        <w:t xml:space="preserve">Особые права предоставляется победителям и призерам олимпиад школьников, имеющим </w:t>
      </w:r>
      <w:r w:rsidRPr="001F4E9F">
        <w:rPr>
          <w:color w:val="auto"/>
          <w:kern w:val="30"/>
          <w:sz w:val="24"/>
          <w:szCs w:val="24"/>
        </w:rPr>
        <w:t xml:space="preserve">диплом </w:t>
      </w:r>
      <w:r w:rsidRPr="001F4E9F">
        <w:rPr>
          <w:color w:val="auto"/>
          <w:kern w:val="30"/>
          <w:sz w:val="24"/>
          <w:szCs w:val="24"/>
          <w:lang w:val="en-US"/>
        </w:rPr>
        <w:t>I</w:t>
      </w:r>
      <w:r w:rsidRPr="001F4E9F">
        <w:rPr>
          <w:color w:val="auto"/>
          <w:kern w:val="30"/>
          <w:sz w:val="24"/>
          <w:szCs w:val="24"/>
        </w:rPr>
        <w:t xml:space="preserve">, </w:t>
      </w:r>
      <w:r w:rsidRPr="001F4E9F">
        <w:rPr>
          <w:color w:val="auto"/>
          <w:kern w:val="30"/>
          <w:sz w:val="24"/>
          <w:szCs w:val="24"/>
          <w:lang w:val="en-US"/>
        </w:rPr>
        <w:t>II</w:t>
      </w:r>
      <w:r w:rsidRPr="001F4E9F">
        <w:rPr>
          <w:color w:val="auto"/>
          <w:kern w:val="30"/>
          <w:sz w:val="24"/>
          <w:szCs w:val="24"/>
        </w:rPr>
        <w:t xml:space="preserve"> и III степени</w:t>
      </w:r>
      <w:r w:rsidRPr="001F4E9F">
        <w:rPr>
          <w:color w:val="auto"/>
          <w:sz w:val="24"/>
          <w:szCs w:val="24"/>
        </w:rPr>
        <w:t>. Учитываются результаты победителя (призера) олимпиады школьников, полученные во время обучения в 9, 10 или 11 классах.</w:t>
      </w:r>
    </w:p>
    <w:p w:rsidR="007B40DA" w:rsidRPr="001F4E9F" w:rsidRDefault="007B40DA" w:rsidP="007B40DA">
      <w:pPr>
        <w:ind w:firstLine="709"/>
        <w:rPr>
          <w:color w:val="auto"/>
          <w:sz w:val="24"/>
          <w:szCs w:val="24"/>
        </w:rPr>
      </w:pPr>
      <w:r w:rsidRPr="001F4E9F">
        <w:rPr>
          <w:color w:val="auto"/>
          <w:sz w:val="24"/>
          <w:szCs w:val="24"/>
        </w:rPr>
        <w:t xml:space="preserve">Количество баллов ЕГЭ или внутреннего общеобразовательного вступительного испытания, проводимого Университетом, которое подтверждает особое право, по предметам, определенным Университетом в соответствии с </w:t>
      </w:r>
      <w:r w:rsidRPr="001F4E9F">
        <w:rPr>
          <w:rStyle w:val="a3"/>
          <w:color w:val="auto"/>
          <w:sz w:val="24"/>
          <w:szCs w:val="24"/>
        </w:rPr>
        <w:t>подпунктом 2</w:t>
      </w:r>
      <w:r w:rsidRPr="001F4E9F">
        <w:rPr>
          <w:color w:val="auto"/>
          <w:sz w:val="24"/>
          <w:szCs w:val="24"/>
        </w:rPr>
        <w:t xml:space="preserve"> настоящего пункта, составляет не менее 75 баллов. Поступающему необходимо иметь указанное количество баллов ЕГЭ или внутреннего общеобразовательного вступительного испытания, проводимого Университетом, по одному предмету (по выбору поступающего) из числа предметов, установленных Университетом в соответствии с </w:t>
      </w:r>
      <w:r w:rsidRPr="001F4E9F">
        <w:rPr>
          <w:rStyle w:val="a3"/>
          <w:color w:val="auto"/>
          <w:sz w:val="24"/>
          <w:szCs w:val="24"/>
        </w:rPr>
        <w:t>подпунктом 2</w:t>
      </w:r>
      <w:r w:rsidRPr="001F4E9F">
        <w:rPr>
          <w:color w:val="auto"/>
          <w:sz w:val="24"/>
          <w:szCs w:val="24"/>
        </w:rPr>
        <w:t xml:space="preserve"> настоящего пункта для предоставления соответствующего особого права.</w:t>
      </w:r>
    </w:p>
    <w:p w:rsidR="007B40DA" w:rsidRPr="001F4E9F" w:rsidRDefault="007B40DA" w:rsidP="007B40DA">
      <w:pPr>
        <w:pStyle w:val="a4"/>
        <w:numPr>
          <w:ilvl w:val="0"/>
          <w:numId w:val="1"/>
        </w:numPr>
        <w:ind w:left="0" w:firstLine="709"/>
        <w:jc w:val="both"/>
        <w:rPr>
          <w:sz w:val="24"/>
          <w:szCs w:val="24"/>
        </w:rPr>
      </w:pPr>
      <w:r w:rsidRPr="001F4E9F">
        <w:rPr>
          <w:sz w:val="24"/>
          <w:szCs w:val="24"/>
        </w:rPr>
        <w:t>По одному основанию, дающему право на 100 баллов (особое преимущество), поступающий получает 100 баллов в рамках одного конкурса по одному общеобразовательному вступительному испытанию (в случае установления Университетом нескольких вступительных испытаний, соответствующих олимпиаде (профилю олимпиады) – по выбору поступающего) либо по одному дополнительному вступительному испытанию в соответствии с приложением 2 к настоящим Правилам.</w:t>
      </w:r>
    </w:p>
    <w:p w:rsidR="007B40DA" w:rsidRPr="001F4E9F" w:rsidRDefault="007B40DA" w:rsidP="007B40DA">
      <w:pPr>
        <w:ind w:firstLine="709"/>
        <w:rPr>
          <w:color w:val="auto"/>
          <w:sz w:val="24"/>
          <w:szCs w:val="24"/>
        </w:rPr>
      </w:pPr>
      <w:r w:rsidRPr="001F4E9F">
        <w:rPr>
          <w:color w:val="auto"/>
          <w:sz w:val="24"/>
          <w:szCs w:val="24"/>
        </w:rPr>
        <w:lastRenderedPageBreak/>
        <w:t>Поступающий может одновременно использовать несколько оснований для получения права на 100 баллов (особого преимущества), в том числе, в рамках одного конкурса.</w:t>
      </w:r>
    </w:p>
    <w:p w:rsidR="007B40DA" w:rsidRPr="001F4E9F" w:rsidRDefault="007B40DA" w:rsidP="007B40DA">
      <w:pPr>
        <w:ind w:firstLine="709"/>
        <w:rPr>
          <w:color w:val="auto"/>
          <w:sz w:val="24"/>
          <w:szCs w:val="24"/>
        </w:rPr>
      </w:pPr>
      <w:r w:rsidRPr="001F4E9F">
        <w:rPr>
          <w:color w:val="auto"/>
          <w:sz w:val="24"/>
          <w:szCs w:val="24"/>
        </w:rPr>
        <w:t>При участии в нескольких конкурсах поступающий может использовать одно и то же основание для получения права на 100 баллов (особого преимущества) по одному и тому ж вступительному испытанию (предмету) или по различным вступительным испытаниям (предметам).</w:t>
      </w:r>
    </w:p>
    <w:p w:rsidR="007B0B7A" w:rsidRDefault="007B0B7A"/>
    <w:sectPr w:rsidR="007B0B7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F3387"/>
    <w:multiLevelType w:val="hybridMultilevel"/>
    <w:tmpl w:val="B06A6F40"/>
    <w:lvl w:ilvl="0" w:tplc="1C122DB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37E9227E"/>
    <w:multiLevelType w:val="hybridMultilevel"/>
    <w:tmpl w:val="D452FF7C"/>
    <w:lvl w:ilvl="0" w:tplc="6A92ED18">
      <w:start w:val="1"/>
      <w:numFmt w:val="upperRoman"/>
      <w:lvlText w:val="%1."/>
      <w:lvlJc w:val="left"/>
      <w:pPr>
        <w:ind w:left="1855" w:hanging="72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B922018"/>
    <w:multiLevelType w:val="hybridMultilevel"/>
    <w:tmpl w:val="C55E1D5E"/>
    <w:lvl w:ilvl="0" w:tplc="8604D930">
      <w:start w:val="32"/>
      <w:numFmt w:val="decimal"/>
      <w:lvlText w:val="%1."/>
      <w:lvlJc w:val="left"/>
      <w:pPr>
        <w:ind w:left="1070" w:hanging="360"/>
      </w:pPr>
      <w:rPr>
        <w:rFonts w:hint="default"/>
        <w:b w:val="0"/>
      </w:rPr>
    </w:lvl>
    <w:lvl w:ilvl="1" w:tplc="04190019">
      <w:start w:val="1"/>
      <w:numFmt w:val="lowerLetter"/>
      <w:lvlText w:val="%2."/>
      <w:lvlJc w:val="left"/>
      <w:pPr>
        <w:ind w:left="1647" w:hanging="360"/>
      </w:pPr>
    </w:lvl>
    <w:lvl w:ilvl="2" w:tplc="9B7A25E0">
      <w:start w:val="1"/>
      <w:numFmt w:val="decimal"/>
      <w:lvlText w:val="%3)"/>
      <w:lvlJc w:val="left"/>
      <w:pPr>
        <w:ind w:left="2547" w:hanging="360"/>
      </w:pPr>
      <w:rPr>
        <w:rFonts w:hint="default"/>
      </w:r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40DA"/>
    <w:rsid w:val="007B0B7A"/>
    <w:rsid w:val="007B40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94DB26"/>
  <w15:chartTrackingRefBased/>
  <w15:docId w15:val="{877CFE87-DB5F-4D91-9873-6B1E6747F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B40DA"/>
    <w:pPr>
      <w:spacing w:after="0" w:line="240" w:lineRule="auto"/>
      <w:ind w:firstLine="567"/>
      <w:jc w:val="both"/>
    </w:pPr>
    <w:rPr>
      <w:rFonts w:ascii="Times New Roman" w:eastAsia="Times New Roman" w:hAnsi="Times New Roman" w:cs="Times New Roman"/>
      <w:color w:val="000000"/>
      <w:sz w:val="30"/>
      <w:szCs w:val="3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7B40DA"/>
    <w:rPr>
      <w:color w:val="0000FF"/>
      <w:u w:val="single"/>
    </w:rPr>
  </w:style>
  <w:style w:type="paragraph" w:styleId="a4">
    <w:name w:val="List Paragraph"/>
    <w:basedOn w:val="a"/>
    <w:uiPriority w:val="34"/>
    <w:qFormat/>
    <w:rsid w:val="007B40DA"/>
    <w:pPr>
      <w:ind w:left="708" w:firstLine="0"/>
      <w:jc w:val="left"/>
    </w:pPr>
    <w:rPr>
      <w:rFonts w:eastAsia="Calibri"/>
      <w:color w:val="auto"/>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1158</Words>
  <Characters>6604</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2025-01-13T08:35:00Z</dcterms:created>
  <dcterms:modified xsi:type="dcterms:W3CDTF">2025-01-13T08:40:00Z</dcterms:modified>
</cp:coreProperties>
</file>